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07B75" w14:textId="7DA67FD3" w:rsidR="00412DA4" w:rsidRPr="004E2857" w:rsidRDefault="00412DA4" w:rsidP="00412DA4">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3548187"/>
      <w:bookmarkStart w:id="3" w:name="_Toc508617208"/>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101-bis-e</w:t>
      </w:r>
      <w:r w:rsidRPr="004E2857">
        <w:rPr>
          <w:rFonts w:cs="Arial"/>
          <w:sz w:val="24"/>
          <w:szCs w:val="24"/>
        </w:rPr>
        <w:tab/>
      </w:r>
      <w:r w:rsidR="001F470E" w:rsidRPr="001F470E">
        <w:rPr>
          <w:rFonts w:cs="Arial"/>
          <w:sz w:val="24"/>
          <w:szCs w:val="24"/>
        </w:rPr>
        <w:t>R4-2201921</w:t>
      </w:r>
    </w:p>
    <w:p w14:paraId="306CF8FE" w14:textId="77777777" w:rsidR="00412DA4" w:rsidRPr="004E2857" w:rsidRDefault="00412DA4" w:rsidP="00412DA4">
      <w:pPr>
        <w:pStyle w:val="Header"/>
        <w:tabs>
          <w:tab w:val="right" w:pos="9781"/>
          <w:tab w:val="right" w:pos="13323"/>
        </w:tabs>
        <w:outlineLvl w:val="0"/>
        <w:rPr>
          <w:rFonts w:eastAsia="SimSun" w:cs="Arial"/>
          <w:b w:val="0"/>
          <w:sz w:val="24"/>
          <w:szCs w:val="24"/>
          <w:lang w:eastAsia="zh-CN"/>
        </w:rPr>
      </w:pPr>
      <w:r w:rsidRPr="004E2857">
        <w:rPr>
          <w:rFonts w:eastAsia="SimSun" w:cs="Arial"/>
          <w:sz w:val="24"/>
          <w:szCs w:val="24"/>
          <w:lang w:eastAsia="zh-CN"/>
        </w:rPr>
        <w:t>Electronic Meeting, January 17-25, 2022</w:t>
      </w:r>
    </w:p>
    <w:p w14:paraId="35952387" w14:textId="77777777" w:rsidR="00816C9D" w:rsidRPr="0008103A" w:rsidRDefault="00816C9D" w:rsidP="00816C9D">
      <w:pPr>
        <w:rPr>
          <w:rFonts w:ascii="Arial" w:hAnsi="Arial" w:cs="Arial"/>
          <w:b/>
          <w:sz w:val="24"/>
          <w:szCs w:val="24"/>
        </w:rPr>
      </w:pPr>
    </w:p>
    <w:p w14:paraId="35952388" w14:textId="198F7B8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90310" w:rsidRPr="00690310">
        <w:rPr>
          <w:rFonts w:ascii="Arial" w:hAnsi="Arial" w:cs="Arial"/>
          <w:sz w:val="24"/>
          <w:szCs w:val="24"/>
        </w:rPr>
        <w:t>7.1.2.1.2</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56D5F862"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690310">
        <w:rPr>
          <w:rFonts w:ascii="Arial" w:hAnsi="Arial" w:cs="Arial"/>
          <w:sz w:val="24"/>
          <w:szCs w:val="24"/>
        </w:rPr>
        <w:t>On Vehicular UEs</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78816729" w:rsidR="00241706" w:rsidRPr="00241706" w:rsidRDefault="0066651A" w:rsidP="00241706">
      <w:pPr>
        <w:ind w:left="48"/>
        <w:rPr>
          <w:rFonts w:eastAsia="Batang"/>
        </w:rPr>
      </w:pPr>
      <w:r>
        <w:rPr>
          <w:rFonts w:eastAsia="Batang"/>
        </w:rPr>
        <w:t xml:space="preserve">This contribution provides our view on the </w:t>
      </w:r>
      <w:r w:rsidR="00F00F8E">
        <w:rPr>
          <w:rFonts w:eastAsia="Batang"/>
        </w:rPr>
        <w:t xml:space="preserve">FR2 </w:t>
      </w:r>
      <w:r>
        <w:rPr>
          <w:rFonts w:eastAsia="Batang"/>
        </w:rPr>
        <w:t>vehicular UE assumptions.</w:t>
      </w:r>
    </w:p>
    <w:p w14:paraId="3595238E" w14:textId="77777777" w:rsidR="0053435C" w:rsidRDefault="00AF0F4C" w:rsidP="0053435C">
      <w:pPr>
        <w:pStyle w:val="Heading1"/>
        <w:ind w:left="567" w:hanging="567"/>
      </w:pPr>
      <w:r>
        <w:t>Discussion</w:t>
      </w:r>
    </w:p>
    <w:p w14:paraId="3595238F" w14:textId="6C599233" w:rsidR="00E03F11" w:rsidRDefault="0066651A" w:rsidP="00E03F11">
      <w:pPr>
        <w:rPr>
          <w:rFonts w:eastAsiaTheme="minorEastAsia"/>
          <w:iCs/>
          <w:lang w:val="en-US" w:eastAsia="zh-CN"/>
        </w:rPr>
      </w:pPr>
      <w:r>
        <w:t xml:space="preserve">In RAN4#101-e, some discussions were held on the vehicular UE assumptions </w:t>
      </w:r>
      <w:r>
        <w:fldChar w:fldCharType="begin"/>
      </w:r>
      <w:r>
        <w:instrText xml:space="preserve"> REF _Ref92294389 \r \h </w:instrText>
      </w:r>
      <w:r>
        <w:fldChar w:fldCharType="separate"/>
      </w:r>
      <w:r>
        <w:t>[1]</w:t>
      </w:r>
      <w:r>
        <w:fldChar w:fldCharType="end"/>
      </w:r>
      <w:r>
        <w:fldChar w:fldCharType="begin"/>
      </w:r>
      <w:r>
        <w:instrText xml:space="preserve"> REF _Ref92294391 \r \h </w:instrText>
      </w:r>
      <w:r>
        <w:fldChar w:fldCharType="separate"/>
      </w:r>
      <w:r>
        <w:t>[2]</w:t>
      </w:r>
      <w:r>
        <w:fldChar w:fldCharType="end"/>
      </w:r>
      <w:r>
        <w:t xml:space="preserve">. Most importantly, the vehicular UE was defined as the combination of </w:t>
      </w:r>
      <w:r w:rsidRPr="00E57D4E">
        <w:rPr>
          <w:rFonts w:eastAsiaTheme="minorEastAsia"/>
          <w:iCs/>
          <w:lang w:val="en-US" w:eastAsia="zh-CN"/>
        </w:rPr>
        <w:t>OBU/TCU + antenna + optional ground plane</w:t>
      </w:r>
      <w:r>
        <w:rPr>
          <w:rFonts w:eastAsiaTheme="minorEastAsia"/>
          <w:iCs/>
          <w:lang w:val="en-US" w:eastAsia="zh-CN"/>
        </w:rPr>
        <w:t xml:space="preserve"> </w:t>
      </w:r>
      <w:r>
        <w:rPr>
          <w:rFonts w:eastAsiaTheme="minorEastAsia"/>
          <w:iCs/>
          <w:lang w:val="en-US" w:eastAsia="zh-CN"/>
        </w:rPr>
        <w:fldChar w:fldCharType="begin"/>
      </w:r>
      <w:r>
        <w:rPr>
          <w:rFonts w:eastAsiaTheme="minorEastAsia"/>
          <w:iCs/>
          <w:lang w:val="en-US" w:eastAsia="zh-CN"/>
        </w:rPr>
        <w:instrText xml:space="preserve"> REF _Ref92294391 \r \h </w:instrText>
      </w:r>
      <w:r>
        <w:rPr>
          <w:rFonts w:eastAsiaTheme="minorEastAsia"/>
          <w:iCs/>
          <w:lang w:val="en-US" w:eastAsia="zh-CN"/>
        </w:rPr>
      </w:r>
      <w:r>
        <w:rPr>
          <w:rFonts w:eastAsiaTheme="minorEastAsia"/>
          <w:iCs/>
          <w:lang w:val="en-US" w:eastAsia="zh-CN"/>
        </w:rPr>
        <w:fldChar w:fldCharType="separate"/>
      </w:r>
      <w:r>
        <w:rPr>
          <w:rFonts w:eastAsiaTheme="minorEastAsia"/>
          <w:iCs/>
          <w:lang w:val="en-US" w:eastAsia="zh-CN"/>
        </w:rPr>
        <w:t>[2]</w:t>
      </w:r>
      <w:r>
        <w:rPr>
          <w:rFonts w:eastAsiaTheme="minorEastAsia"/>
          <w:iCs/>
          <w:lang w:val="en-US" w:eastAsia="zh-CN"/>
        </w:rPr>
        <w:fldChar w:fldCharType="end"/>
      </w:r>
      <w:r>
        <w:rPr>
          <w:rFonts w:eastAsiaTheme="minorEastAsia"/>
          <w:iCs/>
          <w:lang w:val="en-US" w:eastAsia="zh-CN"/>
        </w:rPr>
        <w:fldChar w:fldCharType="begin"/>
      </w:r>
      <w:r>
        <w:rPr>
          <w:rFonts w:eastAsiaTheme="minorEastAsia"/>
          <w:iCs/>
          <w:lang w:val="en-US" w:eastAsia="zh-CN"/>
        </w:rPr>
        <w:instrText xml:space="preserve"> REF _Ref92294440 \r \h </w:instrText>
      </w:r>
      <w:r>
        <w:rPr>
          <w:rFonts w:eastAsiaTheme="minorEastAsia"/>
          <w:iCs/>
          <w:lang w:val="en-US" w:eastAsia="zh-CN"/>
        </w:rPr>
      </w:r>
      <w:r>
        <w:rPr>
          <w:rFonts w:eastAsiaTheme="minorEastAsia"/>
          <w:iCs/>
          <w:lang w:val="en-US" w:eastAsia="zh-CN"/>
        </w:rPr>
        <w:fldChar w:fldCharType="separate"/>
      </w:r>
      <w:r>
        <w:rPr>
          <w:rFonts w:eastAsiaTheme="minorEastAsia"/>
          <w:iCs/>
          <w:lang w:val="en-US" w:eastAsia="zh-CN"/>
        </w:rPr>
        <w:t>[3]</w:t>
      </w:r>
      <w:r>
        <w:rPr>
          <w:rFonts w:eastAsiaTheme="minorEastAsia"/>
          <w:iCs/>
          <w:lang w:val="en-US" w:eastAsia="zh-CN"/>
        </w:rPr>
        <w:fldChar w:fldCharType="end"/>
      </w:r>
      <w:r>
        <w:rPr>
          <w:rFonts w:eastAsiaTheme="minorEastAsia"/>
          <w:iCs/>
          <w:lang w:val="en-US" w:eastAsia="zh-CN"/>
        </w:rPr>
        <w:t>.</w:t>
      </w:r>
      <w:r w:rsidR="006655BD">
        <w:rPr>
          <w:rFonts w:eastAsiaTheme="minorEastAsia"/>
          <w:iCs/>
          <w:lang w:val="en-US" w:eastAsia="zh-CN"/>
        </w:rPr>
        <w:t xml:space="preserve"> Questions were raised related to</w:t>
      </w:r>
      <w:r w:rsidR="006655BD" w:rsidRPr="006655BD">
        <w:rPr>
          <w:rFonts w:eastAsiaTheme="minorEastAsia"/>
          <w:iCs/>
          <w:lang w:val="en-US" w:eastAsia="zh-CN"/>
        </w:rPr>
        <w:t xml:space="preserve"> UE architecture and ground plane details</w:t>
      </w:r>
      <w:r w:rsidR="006655BD">
        <w:rPr>
          <w:rFonts w:eastAsiaTheme="minorEastAsia"/>
          <w:iCs/>
          <w:lang w:val="en-US" w:eastAsia="zh-CN"/>
        </w:rPr>
        <w:t xml:space="preserve"> and companies were encouraged to provide their views in RAN4#101-bis-e</w:t>
      </w:r>
      <w:r w:rsidR="006655BD" w:rsidRPr="006655BD">
        <w:rPr>
          <w:rFonts w:eastAsiaTheme="minorEastAsia"/>
          <w:iCs/>
          <w:lang w:val="en-US" w:eastAsia="zh-CN"/>
        </w:rPr>
        <w:t>.</w:t>
      </w:r>
    </w:p>
    <w:p w14:paraId="434AB181" w14:textId="37DC35A9" w:rsidR="006655BD" w:rsidRDefault="003C14C0" w:rsidP="00E03F11">
      <w:r>
        <w:t>As stated above, the ground plane is considered optional</w:t>
      </w:r>
      <w:r w:rsidR="0042672F">
        <w:t xml:space="preserve"> for FR2 vehicular UEs</w:t>
      </w:r>
      <w:r>
        <w:t xml:space="preserve">. Since different vendors </w:t>
      </w:r>
      <w:r w:rsidR="00646175">
        <w:t>could</w:t>
      </w:r>
      <w:r>
        <w:t xml:space="preserve"> use different ground planes </w:t>
      </w:r>
      <w:r w:rsidR="0042672F">
        <w:t xml:space="preserve">(size and shape, e.g., planar vs rolled edges) </w:t>
      </w:r>
      <w:r w:rsidR="00646175">
        <w:t xml:space="preserve">in their internal tests </w:t>
      </w:r>
      <w:r>
        <w:t xml:space="preserve">to emulate the radiation </w:t>
      </w:r>
      <w:r w:rsidR="0042672F">
        <w:t xml:space="preserve">characteristics </w:t>
      </w:r>
      <w:r>
        <w:t xml:space="preserve">when mounted on an actual vehicle and to avoid lengthy development efforts to standardize ground planes, it is proposed to leave the </w:t>
      </w:r>
      <w:r w:rsidR="00646175">
        <w:t xml:space="preserve">(optional) </w:t>
      </w:r>
      <w:r>
        <w:t>ground plane design to the OEMs and have the</w:t>
      </w:r>
      <w:r w:rsidR="00646175">
        <w:t>ir own designed</w:t>
      </w:r>
      <w:r>
        <w:t xml:space="preserve"> ground plan included as part of the </w:t>
      </w:r>
      <w:r w:rsidR="00C143D2">
        <w:t xml:space="preserve">FR2 </w:t>
      </w:r>
      <w:r>
        <w:t>vehicular UE DUT</w:t>
      </w:r>
      <w:r w:rsidR="009371DC">
        <w:t xml:space="preserve"> with an understanding that the vehicular UE (including ground plane) fits into the currently available QZs, i.e., 20cm, 30cm, 40cm, and 55cm</w:t>
      </w:r>
      <w:r>
        <w:t>.</w:t>
      </w:r>
    </w:p>
    <w:p w14:paraId="5F6AFF92" w14:textId="783DCAD6" w:rsidR="0042672F" w:rsidRDefault="003C14C0" w:rsidP="003C14C0">
      <w:pPr>
        <w:pStyle w:val="Caption"/>
      </w:pPr>
      <w:bookmarkStart w:id="5" w:name="_Ref92296992"/>
      <w:r>
        <w:t xml:space="preserve">Proposal </w:t>
      </w:r>
      <w:r>
        <w:fldChar w:fldCharType="begin"/>
      </w:r>
      <w:r>
        <w:instrText xml:space="preserve"> SEQ Proposal \* ARABIC </w:instrText>
      </w:r>
      <w:r>
        <w:fldChar w:fldCharType="separate"/>
      </w:r>
      <w:r w:rsidR="001F41D3">
        <w:rPr>
          <w:noProof/>
        </w:rPr>
        <w:t>1</w:t>
      </w:r>
      <w:r>
        <w:fldChar w:fldCharType="end"/>
      </w:r>
      <w:r>
        <w:t>: Avoid developing a standardized ground plane for FR2 vehicular UEs</w:t>
      </w:r>
      <w:r w:rsidR="0042672F">
        <w:t xml:space="preserve"> as part of this SI</w:t>
      </w:r>
      <w:bookmarkEnd w:id="5"/>
    </w:p>
    <w:p w14:paraId="4634074A" w14:textId="0DD07546" w:rsidR="003C14C0" w:rsidRDefault="0042672F" w:rsidP="0042672F">
      <w:pPr>
        <w:pStyle w:val="Caption"/>
      </w:pPr>
      <w:bookmarkStart w:id="6" w:name="_Ref92296993"/>
      <w:r>
        <w:t xml:space="preserve">Proposal </w:t>
      </w:r>
      <w:r>
        <w:fldChar w:fldCharType="begin"/>
      </w:r>
      <w:r>
        <w:instrText xml:space="preserve"> SEQ Proposal \* ARABIC </w:instrText>
      </w:r>
      <w:r>
        <w:fldChar w:fldCharType="separate"/>
      </w:r>
      <w:r w:rsidR="001F41D3">
        <w:rPr>
          <w:noProof/>
        </w:rPr>
        <w:t>2</w:t>
      </w:r>
      <w:r>
        <w:fldChar w:fldCharType="end"/>
      </w:r>
      <w:r>
        <w:t>: C</w:t>
      </w:r>
      <w:r w:rsidR="00C143D2">
        <w:t xml:space="preserve">onsider the </w:t>
      </w:r>
      <w:r w:rsidR="00646175">
        <w:t xml:space="preserve">optional </w:t>
      </w:r>
      <w:r w:rsidR="00C143D2">
        <w:t>ground plane designed and manufactured by the OEM an integral part of the FR2 vehicular UE DUT submitted for conformance testing.</w:t>
      </w:r>
      <w:bookmarkEnd w:id="6"/>
      <w:r w:rsidR="00C143D2">
        <w:t xml:space="preserve"> </w:t>
      </w:r>
    </w:p>
    <w:p w14:paraId="7026C0A6" w14:textId="785E94C7" w:rsidR="0042672F" w:rsidRDefault="00CE5056" w:rsidP="0042672F">
      <w:r>
        <w:t xml:space="preserve">Another discussion focused on the power supply and the need for guidelines when AC/DC powered connections are required </w:t>
      </w:r>
      <w:r>
        <w:fldChar w:fldCharType="begin"/>
      </w:r>
      <w:r>
        <w:instrText xml:space="preserve"> REF _Ref92294391 \r \h </w:instrText>
      </w:r>
      <w:r>
        <w:fldChar w:fldCharType="separate"/>
      </w:r>
      <w:r>
        <w:t>[2]</w:t>
      </w:r>
      <w:r>
        <w:fldChar w:fldCharType="end"/>
      </w:r>
      <w:r>
        <w:t xml:space="preserve">. Ideally, powering the OBU/TCU with battery would be preferred to align with existing </w:t>
      </w:r>
      <w:r w:rsidR="00646175">
        <w:t xml:space="preserve">OTA </w:t>
      </w:r>
      <w:r>
        <w:t xml:space="preserve">testing procedures. However, it should be assumed that the OBU/TCU is powered using AC/DC sources as in “real life” and should therefore be considered appropriate for conformance testing. While careful cabling and shielding guidelines </w:t>
      </w:r>
      <w:r w:rsidR="001F41D3">
        <w:t xml:space="preserve">are necessary for legacy OTA testing below 6 GHz given the (constructive/destructive) interference issues based on cable currents, testing in FR2 should not exhibit this problem given the very high frequencies of operation. It is therefore proposed, pending feedback from vehicular UE OEMs, to consider battery and AC/DC powered operation acceptable for FR2 vehicular UEs. </w:t>
      </w:r>
    </w:p>
    <w:p w14:paraId="41DCB8A0" w14:textId="471D47C6" w:rsidR="001F41D3" w:rsidRDefault="001F41D3" w:rsidP="001F41D3">
      <w:pPr>
        <w:pStyle w:val="Caption"/>
      </w:pPr>
      <w:bookmarkStart w:id="7" w:name="_Ref92296994"/>
      <w:r>
        <w:t xml:space="preserve">Proposal </w:t>
      </w:r>
      <w:r>
        <w:fldChar w:fldCharType="begin"/>
      </w:r>
      <w:r>
        <w:instrText xml:space="preserve"> SEQ Proposal \* ARABIC </w:instrText>
      </w:r>
      <w:r>
        <w:fldChar w:fldCharType="separate"/>
      </w:r>
      <w:r>
        <w:rPr>
          <w:noProof/>
        </w:rPr>
        <w:t>3</w:t>
      </w:r>
      <w:r>
        <w:fldChar w:fldCharType="end"/>
      </w:r>
      <w:r>
        <w:t>: Pending feedback from vehicular UE OEMs, consider battery and AC/DC powered operation acceptable for FR2 vehicular UEs</w:t>
      </w:r>
      <w:r w:rsidR="000B08DB">
        <w:t xml:space="preserve"> and request manufacturers to provide proper guidance on cable routings</w:t>
      </w:r>
      <w:r>
        <w:t>.</w:t>
      </w:r>
      <w:bookmarkEnd w:id="7"/>
    </w:p>
    <w:bookmarkEnd w:id="3"/>
    <w:p w14:paraId="35952390" w14:textId="77777777" w:rsidR="008B0529" w:rsidRDefault="0053435C" w:rsidP="0053435C">
      <w:pPr>
        <w:pStyle w:val="Heading1"/>
        <w:ind w:left="567" w:hanging="567"/>
      </w:pPr>
      <w:r>
        <w:t>Conclusion</w:t>
      </w:r>
    </w:p>
    <w:p w14:paraId="35952391" w14:textId="10397240" w:rsidR="008B0529" w:rsidRDefault="0053435C" w:rsidP="008B0529">
      <w:r>
        <w:t>The following observations and proposals were made in this contribution</w:t>
      </w:r>
    </w:p>
    <w:p w14:paraId="17B505ED" w14:textId="473AEA23" w:rsidR="00646175" w:rsidRPr="00646175" w:rsidRDefault="00646175" w:rsidP="008B0529">
      <w:pPr>
        <w:rPr>
          <w:b/>
          <w:bCs/>
        </w:rPr>
      </w:pPr>
      <w:r w:rsidRPr="00646175">
        <w:rPr>
          <w:b/>
          <w:bCs/>
        </w:rPr>
        <w:fldChar w:fldCharType="begin"/>
      </w:r>
      <w:r w:rsidRPr="00646175">
        <w:rPr>
          <w:b/>
          <w:bCs/>
        </w:rPr>
        <w:instrText xml:space="preserve"> REF _Ref92296992 \h </w:instrText>
      </w:r>
      <w:r>
        <w:rPr>
          <w:b/>
          <w:bCs/>
        </w:rPr>
        <w:instrText xml:space="preserve"> \* MERGEFORMAT </w:instrText>
      </w:r>
      <w:r w:rsidRPr="00646175">
        <w:rPr>
          <w:b/>
          <w:bCs/>
        </w:rPr>
      </w:r>
      <w:r w:rsidRPr="00646175">
        <w:rPr>
          <w:b/>
          <w:bCs/>
        </w:rPr>
        <w:fldChar w:fldCharType="separate"/>
      </w:r>
      <w:r w:rsidRPr="00646175">
        <w:rPr>
          <w:b/>
          <w:bCs/>
        </w:rPr>
        <w:t xml:space="preserve">Proposal </w:t>
      </w:r>
      <w:r w:rsidRPr="00646175">
        <w:rPr>
          <w:b/>
          <w:bCs/>
          <w:noProof/>
        </w:rPr>
        <w:t>1</w:t>
      </w:r>
      <w:r w:rsidRPr="00646175">
        <w:rPr>
          <w:b/>
          <w:bCs/>
        </w:rPr>
        <w:t>: Avoid developing a standardized ground plane for FR2 vehicular UEs as part of this SI</w:t>
      </w:r>
      <w:r w:rsidRPr="00646175">
        <w:rPr>
          <w:b/>
          <w:bCs/>
        </w:rPr>
        <w:fldChar w:fldCharType="end"/>
      </w:r>
    </w:p>
    <w:p w14:paraId="4C22DD7B" w14:textId="3A351995" w:rsidR="00646175" w:rsidRPr="00646175" w:rsidRDefault="00646175" w:rsidP="008B0529">
      <w:pPr>
        <w:rPr>
          <w:b/>
          <w:bCs/>
        </w:rPr>
      </w:pPr>
      <w:r w:rsidRPr="00646175">
        <w:rPr>
          <w:b/>
          <w:bCs/>
        </w:rPr>
        <w:fldChar w:fldCharType="begin"/>
      </w:r>
      <w:r w:rsidRPr="00646175">
        <w:rPr>
          <w:b/>
          <w:bCs/>
        </w:rPr>
        <w:instrText xml:space="preserve"> REF _Ref92296993 \h </w:instrText>
      </w:r>
      <w:r>
        <w:rPr>
          <w:b/>
          <w:bCs/>
        </w:rPr>
        <w:instrText xml:space="preserve"> \* MERGEFORMAT </w:instrText>
      </w:r>
      <w:r w:rsidRPr="00646175">
        <w:rPr>
          <w:b/>
          <w:bCs/>
        </w:rPr>
      </w:r>
      <w:r w:rsidRPr="00646175">
        <w:rPr>
          <w:b/>
          <w:bCs/>
        </w:rPr>
        <w:fldChar w:fldCharType="separate"/>
      </w:r>
      <w:r w:rsidRPr="00646175">
        <w:rPr>
          <w:b/>
          <w:bCs/>
        </w:rPr>
        <w:t xml:space="preserve">Proposal </w:t>
      </w:r>
      <w:r w:rsidRPr="00646175">
        <w:rPr>
          <w:b/>
          <w:bCs/>
          <w:noProof/>
        </w:rPr>
        <w:t>2</w:t>
      </w:r>
      <w:r w:rsidRPr="00646175">
        <w:rPr>
          <w:b/>
          <w:bCs/>
        </w:rPr>
        <w:t>: Consider the optional ground plane designed and manufactured by the OEM an integral part of the FR2 vehicular UE DUT submitted for conformance testing.</w:t>
      </w:r>
      <w:r w:rsidRPr="00646175">
        <w:rPr>
          <w:b/>
          <w:bCs/>
        </w:rPr>
        <w:fldChar w:fldCharType="end"/>
      </w:r>
    </w:p>
    <w:p w14:paraId="32AD8E5A" w14:textId="3EA0C755" w:rsidR="00646175" w:rsidRPr="000B08DB" w:rsidRDefault="00646175" w:rsidP="008B0529">
      <w:pPr>
        <w:rPr>
          <w:b/>
          <w:bCs/>
        </w:rPr>
      </w:pPr>
      <w:r w:rsidRPr="000B08DB">
        <w:rPr>
          <w:b/>
          <w:bCs/>
        </w:rPr>
        <w:lastRenderedPageBreak/>
        <w:fldChar w:fldCharType="begin"/>
      </w:r>
      <w:r w:rsidRPr="000B08DB">
        <w:rPr>
          <w:b/>
          <w:bCs/>
        </w:rPr>
        <w:instrText xml:space="preserve"> REF _Ref92296994 \h  \* MERGEFORMAT </w:instrText>
      </w:r>
      <w:r w:rsidRPr="000B08DB">
        <w:rPr>
          <w:b/>
          <w:bCs/>
        </w:rPr>
      </w:r>
      <w:r w:rsidRPr="000B08DB">
        <w:rPr>
          <w:b/>
          <w:bCs/>
        </w:rPr>
        <w:fldChar w:fldCharType="separate"/>
      </w:r>
      <w:r w:rsidR="000B08DB" w:rsidRPr="000B08DB">
        <w:rPr>
          <w:b/>
          <w:bCs/>
        </w:rPr>
        <w:t xml:space="preserve">Proposal </w:t>
      </w:r>
      <w:r w:rsidR="000B08DB" w:rsidRPr="000B08DB">
        <w:rPr>
          <w:b/>
          <w:bCs/>
          <w:noProof/>
        </w:rPr>
        <w:t>3</w:t>
      </w:r>
      <w:r w:rsidR="000B08DB" w:rsidRPr="000B08DB">
        <w:rPr>
          <w:b/>
          <w:bCs/>
        </w:rPr>
        <w:t>: Pending feedback from vehicular UE OEMs, consider battery and AC/DC powered operation acceptable for FR2 vehicular UEs and request manufacturers to provide proper guidance on cable routings.</w:t>
      </w:r>
      <w:r w:rsidRPr="000B08DB">
        <w:rPr>
          <w:b/>
          <w:bCs/>
        </w:rPr>
        <w:fldChar w:fldCharType="end"/>
      </w:r>
    </w:p>
    <w:p w14:paraId="35952392" w14:textId="77777777" w:rsidR="00DD1C07" w:rsidRDefault="00DD1C07" w:rsidP="00DD1C07">
      <w:pPr>
        <w:pStyle w:val="Heading1"/>
        <w:ind w:left="567" w:hanging="567"/>
      </w:pPr>
      <w:r>
        <w:t>References</w:t>
      </w:r>
    </w:p>
    <w:p w14:paraId="60537547" w14:textId="2C7F00DB" w:rsidR="009A4E46" w:rsidRPr="00347826" w:rsidRDefault="00690310" w:rsidP="009A4E46">
      <w:pPr>
        <w:pStyle w:val="ListParagraph"/>
        <w:numPr>
          <w:ilvl w:val="0"/>
          <w:numId w:val="5"/>
        </w:numPr>
        <w:spacing w:after="0" w:line="240" w:lineRule="auto"/>
        <w:rPr>
          <w:rFonts w:eastAsia="Malgun Gothic"/>
          <w:lang w:val="en-GB"/>
        </w:rPr>
      </w:pPr>
      <w:bookmarkStart w:id="8" w:name="_Ref92294389"/>
      <w:r w:rsidRPr="00690310">
        <w:rPr>
          <w:rFonts w:eastAsia="Malgun Gothic"/>
          <w:lang w:val="en-GB"/>
        </w:rPr>
        <w:t>R4-2118869</w:t>
      </w:r>
      <w:r>
        <w:rPr>
          <w:rFonts w:eastAsia="Malgun Gothic"/>
          <w:lang w:val="en-GB"/>
        </w:rPr>
        <w:t xml:space="preserve">, </w:t>
      </w:r>
      <w:r w:rsidRPr="00690310">
        <w:rPr>
          <w:rFonts w:eastAsia="Malgun Gothic"/>
          <w:lang w:val="en-GB"/>
        </w:rPr>
        <w:t>On 60GHz OTA testing for vehicular UE</w:t>
      </w:r>
      <w:r>
        <w:rPr>
          <w:rFonts w:eastAsia="Malgun Gothic"/>
          <w:lang w:val="en-GB"/>
        </w:rPr>
        <w:t xml:space="preserve">, </w:t>
      </w:r>
      <w:r w:rsidRPr="00690310">
        <w:rPr>
          <w:rFonts w:eastAsia="Malgun Gothic"/>
          <w:lang w:val="en-GB"/>
        </w:rPr>
        <w:t>LG Electronics Finland</w:t>
      </w:r>
      <w:r>
        <w:rPr>
          <w:rFonts w:eastAsia="Malgun Gothic"/>
          <w:lang w:val="en-GB"/>
        </w:rPr>
        <w:t xml:space="preserve">, </w:t>
      </w:r>
      <w:r w:rsidRPr="0066651A">
        <w:rPr>
          <w:rFonts w:eastAsia="Malgun Gothic"/>
          <w:lang w:val="en-GB"/>
        </w:rPr>
        <w:t>3GPP TSG-RAN WG4 Meeting #101-e, November 2021</w:t>
      </w:r>
      <w:bookmarkEnd w:id="8"/>
    </w:p>
    <w:p w14:paraId="35952393" w14:textId="4CFD7765" w:rsidR="000547AB" w:rsidRPr="0066651A" w:rsidRDefault="00690310" w:rsidP="0066651A">
      <w:pPr>
        <w:pStyle w:val="ListParagraph"/>
        <w:numPr>
          <w:ilvl w:val="0"/>
          <w:numId w:val="5"/>
        </w:numPr>
        <w:spacing w:after="0" w:line="240" w:lineRule="auto"/>
        <w:rPr>
          <w:rFonts w:eastAsia="Malgun Gothic"/>
          <w:lang w:val="en-GB"/>
        </w:rPr>
      </w:pPr>
      <w:bookmarkStart w:id="9" w:name="_Ref92294391"/>
      <w:r w:rsidRPr="0066651A">
        <w:rPr>
          <w:rFonts w:eastAsia="Malgun Gothic"/>
          <w:lang w:val="en-GB"/>
        </w:rPr>
        <w:t>R4-2120746, Email discussion summary for [101-e][329] FR2_enhTestMethods_Part2 _NWM, Intel Corporation, 3GPP TSG-RAN WG4 Meeting #101-e, November 2021</w:t>
      </w:r>
      <w:bookmarkEnd w:id="9"/>
    </w:p>
    <w:p w14:paraId="22D43CD3" w14:textId="77777777" w:rsidR="0066651A" w:rsidRPr="0066651A" w:rsidRDefault="0066651A" w:rsidP="0066651A">
      <w:pPr>
        <w:pStyle w:val="ListParagraph"/>
        <w:numPr>
          <w:ilvl w:val="0"/>
          <w:numId w:val="5"/>
        </w:numPr>
        <w:spacing w:after="0" w:line="240" w:lineRule="auto"/>
        <w:rPr>
          <w:rFonts w:eastAsia="Malgun Gothic"/>
          <w:lang w:val="en-GB"/>
        </w:rPr>
      </w:pPr>
      <w:bookmarkStart w:id="10" w:name="_Ref92294440"/>
      <w:r w:rsidRPr="0066651A">
        <w:rPr>
          <w:rFonts w:eastAsia="Malgun Gothic"/>
          <w:lang w:val="en-GB"/>
        </w:rPr>
        <w:t>R4-2120698, WF on OTA test methods for 52.6~71GHz, Intel Corporation, 3GPP TSG-RAN WG4 Meeting #101-e, November 2021</w:t>
      </w:r>
      <w:bookmarkEnd w:id="10"/>
    </w:p>
    <w:p w14:paraId="32DA3F06" w14:textId="432E3DD3" w:rsidR="0066651A" w:rsidRPr="00052390" w:rsidRDefault="0066651A" w:rsidP="0066651A">
      <w:pPr>
        <w:tabs>
          <w:tab w:val="left" w:pos="426"/>
        </w:tabs>
        <w:overflowPunct w:val="0"/>
        <w:autoSpaceDE w:val="0"/>
        <w:autoSpaceDN w:val="0"/>
        <w:adjustRightInd w:val="0"/>
        <w:ind w:left="360"/>
        <w:textAlignment w:val="baseline"/>
      </w:pPr>
    </w:p>
    <w:sectPr w:rsidR="0066651A"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29"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1"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6"/>
  </w:num>
  <w:num w:numId="7">
    <w:abstractNumId w:val="13"/>
  </w:num>
  <w:num w:numId="8">
    <w:abstractNumId w:val="8"/>
  </w:num>
  <w:num w:numId="9">
    <w:abstractNumId w:val="20"/>
  </w:num>
  <w:num w:numId="10">
    <w:abstractNumId w:val="5"/>
  </w:num>
  <w:num w:numId="11">
    <w:abstractNumId w:val="26"/>
  </w:num>
  <w:num w:numId="12">
    <w:abstractNumId w:val="11"/>
  </w:num>
  <w:num w:numId="13">
    <w:abstractNumId w:val="24"/>
  </w:num>
  <w:num w:numId="14">
    <w:abstractNumId w:val="32"/>
  </w:num>
  <w:num w:numId="15">
    <w:abstractNumId w:val="10"/>
  </w:num>
  <w:num w:numId="16">
    <w:abstractNumId w:val="30"/>
  </w:num>
  <w:num w:numId="17">
    <w:abstractNumId w:val="7"/>
  </w:num>
  <w:num w:numId="18">
    <w:abstractNumId w:val="22"/>
  </w:num>
  <w:num w:numId="19">
    <w:abstractNumId w:val="18"/>
  </w:num>
  <w:num w:numId="20">
    <w:abstractNumId w:val="23"/>
  </w:num>
  <w:num w:numId="21">
    <w:abstractNumId w:val="29"/>
  </w:num>
  <w:num w:numId="22">
    <w:abstractNumId w:val="21"/>
  </w:num>
  <w:num w:numId="23">
    <w:abstractNumId w:val="19"/>
  </w:num>
  <w:num w:numId="24">
    <w:abstractNumId w:val="9"/>
  </w:num>
  <w:num w:numId="25">
    <w:abstractNumId w:val="4"/>
  </w:num>
  <w:num w:numId="26">
    <w:abstractNumId w:val="22"/>
  </w:num>
  <w:num w:numId="27">
    <w:abstractNumId w:val="22"/>
  </w:num>
  <w:num w:numId="28">
    <w:abstractNumId w:val="22"/>
  </w:num>
  <w:num w:numId="29">
    <w:abstractNumId w:val="17"/>
  </w:num>
  <w:num w:numId="30">
    <w:abstractNumId w:val="15"/>
  </w:num>
  <w:num w:numId="31">
    <w:abstractNumId w:val="35"/>
  </w:num>
  <w:num w:numId="32">
    <w:abstractNumId w:val="28"/>
  </w:num>
  <w:num w:numId="33">
    <w:abstractNumId w:val="34"/>
  </w:num>
  <w:num w:numId="34">
    <w:abstractNumId w:val="14"/>
  </w:num>
  <w:num w:numId="35">
    <w:abstractNumId w:val="6"/>
  </w:num>
  <w:num w:numId="36">
    <w:abstractNumId w:val="1"/>
  </w:num>
  <w:num w:numId="37">
    <w:abstractNumId w:val="27"/>
  </w:num>
  <w:num w:numId="38">
    <w:abstractNumId w:val="12"/>
  </w:num>
  <w:num w:numId="39">
    <w:abstractNumId w:val="25"/>
  </w:num>
  <w:num w:numId="40">
    <w:abstractNumId w:val="31"/>
  </w:num>
  <w:num w:numId="41">
    <w:abstractNumId w:val="25"/>
  </w:num>
  <w:num w:numId="4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08DB"/>
    <w:rsid w:val="000B25D3"/>
    <w:rsid w:val="000C2440"/>
    <w:rsid w:val="000C3463"/>
    <w:rsid w:val="000C640F"/>
    <w:rsid w:val="000D39C6"/>
    <w:rsid w:val="000D6B69"/>
    <w:rsid w:val="000D6CFC"/>
    <w:rsid w:val="000E24A4"/>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20DC"/>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41D3"/>
    <w:rsid w:val="001F470E"/>
    <w:rsid w:val="001F5795"/>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706"/>
    <w:rsid w:val="00241A14"/>
    <w:rsid w:val="002421EA"/>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871"/>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B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14C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2DA4"/>
    <w:rsid w:val="00413C3E"/>
    <w:rsid w:val="00413C6C"/>
    <w:rsid w:val="0041477A"/>
    <w:rsid w:val="00417068"/>
    <w:rsid w:val="004204BB"/>
    <w:rsid w:val="00420AD5"/>
    <w:rsid w:val="00426356"/>
    <w:rsid w:val="0042672F"/>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5F4867"/>
    <w:rsid w:val="00607D98"/>
    <w:rsid w:val="0061059A"/>
    <w:rsid w:val="006126CA"/>
    <w:rsid w:val="006131BB"/>
    <w:rsid w:val="00613B1E"/>
    <w:rsid w:val="00616FB0"/>
    <w:rsid w:val="006210C4"/>
    <w:rsid w:val="00622B32"/>
    <w:rsid w:val="00634928"/>
    <w:rsid w:val="00635671"/>
    <w:rsid w:val="00636ABD"/>
    <w:rsid w:val="00645857"/>
    <w:rsid w:val="00646175"/>
    <w:rsid w:val="006468DD"/>
    <w:rsid w:val="00651C2B"/>
    <w:rsid w:val="006537BF"/>
    <w:rsid w:val="00653DF0"/>
    <w:rsid w:val="006543EF"/>
    <w:rsid w:val="0065492A"/>
    <w:rsid w:val="00654D11"/>
    <w:rsid w:val="00656A7B"/>
    <w:rsid w:val="006655BD"/>
    <w:rsid w:val="00665AD3"/>
    <w:rsid w:val="0066651A"/>
    <w:rsid w:val="00683EDA"/>
    <w:rsid w:val="006856E5"/>
    <w:rsid w:val="00690310"/>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55E50"/>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1A04"/>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0F71"/>
    <w:rsid w:val="00931702"/>
    <w:rsid w:val="00931918"/>
    <w:rsid w:val="00932F29"/>
    <w:rsid w:val="009371DC"/>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F25"/>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6208"/>
    <w:rsid w:val="00B3769C"/>
    <w:rsid w:val="00B40D30"/>
    <w:rsid w:val="00B426E8"/>
    <w:rsid w:val="00B42B91"/>
    <w:rsid w:val="00B478AC"/>
    <w:rsid w:val="00B55D9A"/>
    <w:rsid w:val="00B5661F"/>
    <w:rsid w:val="00B6099D"/>
    <w:rsid w:val="00B62514"/>
    <w:rsid w:val="00B65101"/>
    <w:rsid w:val="00B7370C"/>
    <w:rsid w:val="00B73955"/>
    <w:rsid w:val="00B75741"/>
    <w:rsid w:val="00B822A0"/>
    <w:rsid w:val="00B8446C"/>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3D2"/>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E505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0183"/>
    <w:rsid w:val="00E41279"/>
    <w:rsid w:val="00E502C4"/>
    <w:rsid w:val="00E50777"/>
    <w:rsid w:val="00E55ABC"/>
    <w:rsid w:val="00E56168"/>
    <w:rsid w:val="00E57B74"/>
    <w:rsid w:val="00E57FEF"/>
    <w:rsid w:val="00E642B3"/>
    <w:rsid w:val="00E70C18"/>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0F8E"/>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9A4E46"/>
    <w:rPr>
      <w:rFonts w:eastAsia="Calibri"/>
    </w:rPr>
  </w:style>
  <w:style w:type="character" w:customStyle="1" w:styleId="HeaderChar">
    <w:name w:val="Header Char"/>
    <w:basedOn w:val="DefaultParagraphFont"/>
    <w:link w:val="Header"/>
    <w:rsid w:val="00412DA4"/>
    <w:rPr>
      <w:rFonts w:ascii="Arial" w:hAnsi="Arial"/>
      <w:b/>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34408F-6548-4D4F-9097-0F8C5B35F9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70171A-6F2F-4761-BEAC-0E9946082FC1}">
  <ds:schemaRefs>
    <ds:schemaRef ds:uri="http://schemas.openxmlformats.org/officeDocument/2006/bibliography"/>
  </ds:schemaRefs>
</ds:datastoreItem>
</file>

<file path=customXml/itemProps3.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Pages>
  <Words>528</Words>
  <Characters>3340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38</cp:revision>
  <dcterms:created xsi:type="dcterms:W3CDTF">2019-06-30T20:45:00Z</dcterms:created>
  <dcterms:modified xsi:type="dcterms:W3CDTF">2022-01-10T22:30:00Z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